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4AFE" w14:textId="794B6D90" w:rsidR="00084D6B" w:rsidRPr="0015295D" w:rsidRDefault="00084D6B" w:rsidP="00020263">
      <w:r>
        <w:rPr>
          <w:b/>
          <w:bCs/>
        </w:rPr>
        <w:t>Evolve Staffing Ltd.</w:t>
      </w:r>
      <w:r w:rsidRPr="0015295D">
        <w:br/>
      </w:r>
      <w:r w:rsidR="00F83C1C">
        <w:rPr>
          <w:b/>
          <w:bCs/>
        </w:rPr>
        <w:t xml:space="preserve">Equal Opportunities </w:t>
      </w:r>
      <w:r w:rsidRPr="0015295D">
        <w:rPr>
          <w:b/>
          <w:bCs/>
        </w:rPr>
        <w:t>Policy</w:t>
      </w:r>
    </w:p>
    <w:p w14:paraId="606AB316" w14:textId="7F9231D5" w:rsidR="00084D6B" w:rsidRPr="0015295D" w:rsidRDefault="00084D6B" w:rsidP="00020263">
      <w:r w:rsidRPr="0015295D">
        <w:rPr>
          <w:b/>
          <w:bCs/>
        </w:rPr>
        <w:t>Document Version:</w:t>
      </w:r>
      <w:r w:rsidRPr="0015295D">
        <w:t xml:space="preserve"> 1.0</w:t>
      </w:r>
      <w:r w:rsidRPr="0015295D">
        <w:br/>
      </w:r>
      <w:r w:rsidRPr="0015295D">
        <w:rPr>
          <w:b/>
          <w:bCs/>
        </w:rPr>
        <w:t>Effective Date:</w:t>
      </w:r>
      <w:r w:rsidRPr="0015295D">
        <w:t xml:space="preserve"> 01 </w:t>
      </w:r>
      <w:r>
        <w:t>January</w:t>
      </w:r>
      <w:r w:rsidRPr="0015295D">
        <w:t xml:space="preserve"> 2026</w:t>
      </w:r>
      <w:r w:rsidRPr="0015295D">
        <w:br/>
      </w:r>
      <w:r w:rsidRPr="0015295D">
        <w:rPr>
          <w:b/>
          <w:bCs/>
        </w:rPr>
        <w:t>Review Date:</w:t>
      </w:r>
      <w:r w:rsidRPr="0015295D">
        <w:t xml:space="preserve"> 01 </w:t>
      </w:r>
      <w:r>
        <w:t>January</w:t>
      </w:r>
      <w:r w:rsidRPr="0015295D">
        <w:t xml:space="preserve"> 2027</w:t>
      </w:r>
      <w:r w:rsidRPr="0015295D">
        <w:br/>
      </w:r>
      <w:r w:rsidRPr="0015295D">
        <w:rPr>
          <w:b/>
          <w:bCs/>
        </w:rPr>
        <w:t>Approved By:</w:t>
      </w:r>
      <w:r w:rsidRPr="0015295D">
        <w:t xml:space="preserve"> Director, </w:t>
      </w:r>
      <w:r>
        <w:t>Evolve Staffing Ltd.</w:t>
      </w:r>
    </w:p>
    <w:p w14:paraId="78653166" w14:textId="77777777" w:rsidR="00084D6B" w:rsidRPr="0015295D" w:rsidRDefault="00000000" w:rsidP="00020263">
      <w:r>
        <w:pict w14:anchorId="5572EA77">
          <v:rect id="_x0000_i1025" style="width:0;height:1.5pt" o:hralign="center" o:hrstd="t" o:hr="t" fillcolor="#a0a0a0" stroked="f"/>
        </w:pict>
      </w:r>
    </w:p>
    <w:p w14:paraId="5D251129" w14:textId="33E1BD62" w:rsidR="00084D6B" w:rsidRPr="0015295D" w:rsidRDefault="00084D6B" w:rsidP="00020263">
      <w:pPr>
        <w:rPr>
          <w:b/>
          <w:bCs/>
        </w:rPr>
      </w:pPr>
      <w:r w:rsidRPr="0015295D">
        <w:rPr>
          <w:b/>
          <w:bCs/>
        </w:rPr>
        <w:t>1. Purpose</w:t>
      </w:r>
      <w:r w:rsidR="004356DF">
        <w:rPr>
          <w:b/>
          <w:bCs/>
        </w:rPr>
        <w:t xml:space="preserve"> </w:t>
      </w:r>
      <w:r w:rsidR="00F83C1C">
        <w:rPr>
          <w:b/>
          <w:bCs/>
        </w:rPr>
        <w:t>Statement</w:t>
      </w:r>
    </w:p>
    <w:p w14:paraId="1FB15725" w14:textId="6CBCE1DF" w:rsidR="00084D6B" w:rsidRPr="0015295D" w:rsidRDefault="00F83C1C" w:rsidP="00F83C1C">
      <w:r>
        <w:t xml:space="preserve">Evolve Staffing Ltd is committed to promoting equal opportunities and diversity in all its employment and recruitment practices. No job applicant, employee, or temporary agency worker will receive less </w:t>
      </w:r>
      <w:proofErr w:type="spellStart"/>
      <w:r>
        <w:t>favorable</w:t>
      </w:r>
      <w:proofErr w:type="spellEnd"/>
      <w:r>
        <w:t xml:space="preserve"> treatment on any grounds.</w:t>
      </w:r>
      <w:r w:rsidR="00000000">
        <w:pict w14:anchorId="3499C7D9">
          <v:rect id="_x0000_i1026" style="width:0;height:1.5pt" o:hralign="center" o:hrstd="t" o:hr="t" fillcolor="#a0a0a0" stroked="f"/>
        </w:pict>
      </w:r>
    </w:p>
    <w:p w14:paraId="7168E381" w14:textId="0A0FAB14" w:rsidR="00084D6B" w:rsidRPr="0015295D" w:rsidRDefault="00084D6B" w:rsidP="00020263">
      <w:pPr>
        <w:rPr>
          <w:b/>
          <w:bCs/>
        </w:rPr>
      </w:pPr>
      <w:r w:rsidRPr="0015295D">
        <w:rPr>
          <w:b/>
          <w:bCs/>
        </w:rPr>
        <w:t xml:space="preserve">2. </w:t>
      </w:r>
      <w:r w:rsidR="00EE0C3F" w:rsidRPr="00EE0C3F">
        <w:rPr>
          <w:b/>
          <w:bCs/>
        </w:rPr>
        <w:t>UK Legislation and Micro-Company Status</w:t>
      </w:r>
    </w:p>
    <w:p w14:paraId="02D802B5" w14:textId="57053A5F" w:rsidR="00084D6B" w:rsidRPr="0015295D" w:rsidRDefault="00F83C1C" w:rsidP="00F83C1C">
      <w:pPr>
        <w:suppressAutoHyphens w:val="0"/>
      </w:pPr>
      <w:r>
        <w:t xml:space="preserve">Under the Equality Act 2010 (Gender Pay Gap Information) Regulations 2017, statutory obligations to publish gender pay gap reports apply only to employers with 250 or more employees. Operating as a Micro Company, Evolve Staffing Ltd is legally exempt from these specific statistical reporting duties. Despite this exemption, we are fully implementing this comprehensive Equal Opportunities Policy to demonstrate our active commitment to objective meritocracy, pay equity, and non-discriminatory placement practices required for </w:t>
      </w:r>
      <w:r w:rsidR="00405251">
        <w:t xml:space="preserve">various </w:t>
      </w:r>
      <w:r>
        <w:t>framework standards.</w:t>
      </w:r>
      <w:r w:rsidR="00000000">
        <w:pict w14:anchorId="0A94A9E6">
          <v:rect id="_x0000_i1027" style="width:0;height:1.5pt" o:hralign="center" o:hrstd="t" o:hr="t" fillcolor="#a0a0a0" stroked="f"/>
        </w:pict>
      </w:r>
    </w:p>
    <w:p w14:paraId="33EC8EA8" w14:textId="07F69B7B" w:rsidR="00084D6B" w:rsidRPr="0015295D" w:rsidRDefault="00084D6B" w:rsidP="00020263">
      <w:pPr>
        <w:rPr>
          <w:b/>
          <w:bCs/>
        </w:rPr>
      </w:pPr>
      <w:r w:rsidRPr="0015295D">
        <w:rPr>
          <w:b/>
          <w:bCs/>
        </w:rPr>
        <w:t xml:space="preserve">3. </w:t>
      </w:r>
      <w:r w:rsidR="00C67CEC" w:rsidRPr="00C67CEC">
        <w:rPr>
          <w:b/>
          <w:bCs/>
        </w:rPr>
        <w:t>Protected Characteristics</w:t>
      </w:r>
    </w:p>
    <w:p w14:paraId="3825E300" w14:textId="5D5EBEAA" w:rsidR="00C67CEC" w:rsidRPr="00C67CEC" w:rsidRDefault="00C67CEC" w:rsidP="00C67CEC">
      <w:r w:rsidRPr="00C67CEC">
        <w:t>We strictly prohibit direct or indirect discrimination, harassment, or victimization based on the</w:t>
      </w:r>
      <w:r>
        <w:t xml:space="preserve"> </w:t>
      </w:r>
      <w:r w:rsidRPr="00C67CEC">
        <w:t>nine protected characteristics under the UK Equality Act 2010:</w:t>
      </w:r>
    </w:p>
    <w:p w14:paraId="20824680" w14:textId="2E163CB8" w:rsidR="00C67CEC" w:rsidRPr="00C67CEC" w:rsidRDefault="00C67CEC" w:rsidP="00C67CEC">
      <w:pPr>
        <w:pStyle w:val="ListParagraph"/>
        <w:numPr>
          <w:ilvl w:val="0"/>
          <w:numId w:val="25"/>
        </w:numPr>
      </w:pPr>
      <w:r w:rsidRPr="00C67CEC">
        <w:t>Age</w:t>
      </w:r>
    </w:p>
    <w:p w14:paraId="40D76BA0" w14:textId="5363887E" w:rsidR="00C67CEC" w:rsidRPr="00C67CEC" w:rsidRDefault="00C67CEC" w:rsidP="00C67CEC">
      <w:pPr>
        <w:pStyle w:val="ListParagraph"/>
        <w:numPr>
          <w:ilvl w:val="0"/>
          <w:numId w:val="25"/>
        </w:numPr>
      </w:pPr>
      <w:r w:rsidRPr="00C67CEC">
        <w:t>Disability</w:t>
      </w:r>
    </w:p>
    <w:p w14:paraId="2348ABC6" w14:textId="178DD4A0" w:rsidR="00C67CEC" w:rsidRPr="00C67CEC" w:rsidRDefault="00C67CEC" w:rsidP="00C67CEC">
      <w:pPr>
        <w:pStyle w:val="ListParagraph"/>
        <w:numPr>
          <w:ilvl w:val="0"/>
          <w:numId w:val="25"/>
        </w:numPr>
      </w:pPr>
      <w:r w:rsidRPr="00C67CEC">
        <w:t>Gender Reassignment</w:t>
      </w:r>
    </w:p>
    <w:p w14:paraId="35F28BD2" w14:textId="496BADF6" w:rsidR="00C67CEC" w:rsidRPr="00C67CEC" w:rsidRDefault="00C67CEC" w:rsidP="00C67CEC">
      <w:pPr>
        <w:pStyle w:val="ListParagraph"/>
        <w:numPr>
          <w:ilvl w:val="0"/>
          <w:numId w:val="25"/>
        </w:numPr>
      </w:pPr>
      <w:r w:rsidRPr="00C67CEC">
        <w:t>Marriage and Civil Partnership</w:t>
      </w:r>
    </w:p>
    <w:p w14:paraId="34EAB64E" w14:textId="15444AE9" w:rsidR="00C67CEC" w:rsidRPr="00C67CEC" w:rsidRDefault="00C67CEC" w:rsidP="00C67CEC">
      <w:pPr>
        <w:pStyle w:val="ListParagraph"/>
        <w:numPr>
          <w:ilvl w:val="0"/>
          <w:numId w:val="25"/>
        </w:numPr>
      </w:pPr>
      <w:r w:rsidRPr="00C67CEC">
        <w:t>Pregnancy and Maternity</w:t>
      </w:r>
    </w:p>
    <w:p w14:paraId="2B609EF6" w14:textId="61F4E135" w:rsidR="00C67CEC" w:rsidRPr="00C67CEC" w:rsidRDefault="00C67CEC" w:rsidP="00C67CEC">
      <w:pPr>
        <w:pStyle w:val="ListParagraph"/>
        <w:numPr>
          <w:ilvl w:val="0"/>
          <w:numId w:val="25"/>
        </w:numPr>
      </w:pPr>
      <w:r w:rsidRPr="00C67CEC">
        <w:t xml:space="preserve">Race (including </w:t>
      </w:r>
      <w:proofErr w:type="spellStart"/>
      <w:r w:rsidRPr="00C67CEC">
        <w:t>color</w:t>
      </w:r>
      <w:proofErr w:type="spellEnd"/>
      <w:r w:rsidRPr="00C67CEC">
        <w:t>, nationality, and ethnic or national origin)</w:t>
      </w:r>
    </w:p>
    <w:p w14:paraId="34BF07ED" w14:textId="19D15604" w:rsidR="00C67CEC" w:rsidRPr="00C67CEC" w:rsidRDefault="00C67CEC" w:rsidP="00C67CEC">
      <w:pPr>
        <w:pStyle w:val="ListParagraph"/>
        <w:numPr>
          <w:ilvl w:val="0"/>
          <w:numId w:val="25"/>
        </w:numPr>
      </w:pPr>
      <w:r w:rsidRPr="00C67CEC">
        <w:t>Religion or Belief</w:t>
      </w:r>
    </w:p>
    <w:p w14:paraId="1F9FF0A8" w14:textId="6421DE64" w:rsidR="00C67CEC" w:rsidRPr="00C67CEC" w:rsidRDefault="00C67CEC" w:rsidP="00C67CEC">
      <w:pPr>
        <w:pStyle w:val="ListParagraph"/>
        <w:numPr>
          <w:ilvl w:val="0"/>
          <w:numId w:val="25"/>
        </w:numPr>
      </w:pPr>
      <w:r w:rsidRPr="00C67CEC">
        <w:t>Sex</w:t>
      </w:r>
    </w:p>
    <w:p w14:paraId="17D1AA8C" w14:textId="3C51FF2F" w:rsidR="00084D6B" w:rsidRPr="0015295D" w:rsidRDefault="00C67CEC" w:rsidP="00C67CEC">
      <w:pPr>
        <w:pStyle w:val="ListParagraph"/>
        <w:numPr>
          <w:ilvl w:val="0"/>
          <w:numId w:val="25"/>
        </w:numPr>
      </w:pPr>
      <w:r w:rsidRPr="00C67CEC">
        <w:t>Sexual Orientation</w:t>
      </w:r>
    </w:p>
    <w:p w14:paraId="0BE5EDAF" w14:textId="29CFB32C" w:rsidR="00C67CEC" w:rsidRDefault="00000000" w:rsidP="00020263">
      <w:pPr>
        <w:rPr>
          <w:b/>
          <w:bCs/>
        </w:rPr>
      </w:pPr>
      <w:r>
        <w:pict w14:anchorId="0EDC059B">
          <v:rect id="_x0000_i1028" style="width:0;height:1.5pt" o:hralign="center" o:hrstd="t" o:hr="t" fillcolor="#a0a0a0" stroked="f"/>
        </w:pict>
      </w:r>
    </w:p>
    <w:p w14:paraId="61886AB7" w14:textId="2A35BCAE" w:rsidR="00084D6B" w:rsidRPr="0015295D" w:rsidRDefault="00084D6B" w:rsidP="00020263">
      <w:pPr>
        <w:rPr>
          <w:b/>
          <w:bCs/>
        </w:rPr>
      </w:pPr>
      <w:r w:rsidRPr="0015295D">
        <w:rPr>
          <w:b/>
          <w:bCs/>
        </w:rPr>
        <w:t xml:space="preserve">4. </w:t>
      </w:r>
      <w:r w:rsidR="00520643" w:rsidRPr="00520643">
        <w:rPr>
          <w:b/>
          <w:bCs/>
        </w:rPr>
        <w:t>Safer Recruitment &amp; Selection</w:t>
      </w:r>
    </w:p>
    <w:p w14:paraId="49EFF283" w14:textId="443A1857" w:rsidR="00084D6B" w:rsidRPr="0015295D" w:rsidRDefault="00520643" w:rsidP="00520643">
      <w:r>
        <w:t>All recruitment processes, candidate selections, and shortlisting are based solely on objective, job-related criteria, qualifications, and merit.</w:t>
      </w:r>
      <w:r w:rsidR="00000000">
        <w:pict w14:anchorId="25CD9A82">
          <v:rect id="_x0000_i1029" style="width:0;height:1.5pt" o:hralign="center" o:hrstd="t" o:hr="t" fillcolor="#a0a0a0" stroked="f"/>
        </w:pict>
      </w:r>
    </w:p>
    <w:p w14:paraId="15376DE6" w14:textId="30CD2494" w:rsidR="00084D6B" w:rsidRPr="0015295D" w:rsidRDefault="003E1E99" w:rsidP="00020263">
      <w:pPr>
        <w:rPr>
          <w:b/>
          <w:bCs/>
        </w:rPr>
      </w:pPr>
      <w:r>
        <w:rPr>
          <w:b/>
          <w:bCs/>
        </w:rPr>
        <w:t>5</w:t>
      </w:r>
      <w:r w:rsidR="00084D6B" w:rsidRPr="0015295D">
        <w:rPr>
          <w:b/>
          <w:bCs/>
        </w:rPr>
        <w:t>. Policy Review</w:t>
      </w:r>
    </w:p>
    <w:p w14:paraId="0A7FD006" w14:textId="77777777" w:rsidR="00084D6B" w:rsidRPr="0015295D" w:rsidRDefault="00084D6B" w:rsidP="00020263">
      <w:r w:rsidRPr="0015295D">
        <w:t>This policy will be reviewed annually or earlier if required due to legislative or organisational changes.</w:t>
      </w:r>
    </w:p>
    <w:p w14:paraId="645C23E2" w14:textId="77777777" w:rsidR="00084D6B" w:rsidRPr="0015295D" w:rsidRDefault="00000000" w:rsidP="00020263">
      <w:r>
        <w:pict w14:anchorId="5BAD3348">
          <v:rect id="_x0000_i1030" style="width:0;height:1.5pt" o:hralign="center" o:hrstd="t" o:hr="t" fillcolor="#a0a0a0" stroked="f"/>
        </w:pict>
      </w:r>
    </w:p>
    <w:p w14:paraId="3DD98DA9" w14:textId="77777777" w:rsidR="00084D6B" w:rsidRPr="0015295D" w:rsidRDefault="00084D6B" w:rsidP="00020263">
      <w:r w:rsidRPr="0015295D">
        <w:rPr>
          <w:b/>
          <w:bCs/>
        </w:rPr>
        <w:t>Version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gridCol w:w="1249"/>
        <w:gridCol w:w="2115"/>
        <w:gridCol w:w="1434"/>
      </w:tblGrid>
      <w:tr w:rsidR="00084D6B" w:rsidRPr="0015295D" w14:paraId="59B5CDD5" w14:textId="77777777" w:rsidTr="00786DF7">
        <w:trPr>
          <w:tblHeader/>
          <w:tblCellSpacing w:w="15" w:type="dxa"/>
        </w:trPr>
        <w:tc>
          <w:tcPr>
            <w:tcW w:w="0" w:type="auto"/>
            <w:vAlign w:val="center"/>
            <w:hideMark/>
          </w:tcPr>
          <w:p w14:paraId="5E1C7033" w14:textId="77777777" w:rsidR="00084D6B" w:rsidRPr="0015295D" w:rsidRDefault="00084D6B" w:rsidP="00020263">
            <w:pPr>
              <w:rPr>
                <w:b/>
                <w:bCs/>
              </w:rPr>
            </w:pPr>
            <w:r w:rsidRPr="0015295D">
              <w:rPr>
                <w:b/>
                <w:bCs/>
              </w:rPr>
              <w:t>Version</w:t>
            </w:r>
          </w:p>
        </w:tc>
        <w:tc>
          <w:tcPr>
            <w:tcW w:w="0" w:type="auto"/>
            <w:vAlign w:val="center"/>
            <w:hideMark/>
          </w:tcPr>
          <w:p w14:paraId="04092C46" w14:textId="77777777" w:rsidR="00084D6B" w:rsidRPr="0015295D" w:rsidRDefault="00084D6B" w:rsidP="00020263">
            <w:pPr>
              <w:rPr>
                <w:b/>
                <w:bCs/>
              </w:rPr>
            </w:pPr>
            <w:r w:rsidRPr="0015295D">
              <w:rPr>
                <w:b/>
                <w:bCs/>
              </w:rPr>
              <w:t>Date</w:t>
            </w:r>
          </w:p>
        </w:tc>
        <w:tc>
          <w:tcPr>
            <w:tcW w:w="0" w:type="auto"/>
            <w:vAlign w:val="center"/>
            <w:hideMark/>
          </w:tcPr>
          <w:p w14:paraId="6EF42170" w14:textId="77777777" w:rsidR="00084D6B" w:rsidRPr="0015295D" w:rsidRDefault="00084D6B" w:rsidP="00020263">
            <w:pPr>
              <w:rPr>
                <w:b/>
                <w:bCs/>
              </w:rPr>
            </w:pPr>
            <w:r w:rsidRPr="0015295D">
              <w:rPr>
                <w:b/>
                <w:bCs/>
              </w:rPr>
              <w:t>Description</w:t>
            </w:r>
          </w:p>
        </w:tc>
        <w:tc>
          <w:tcPr>
            <w:tcW w:w="0" w:type="auto"/>
            <w:vAlign w:val="center"/>
            <w:hideMark/>
          </w:tcPr>
          <w:p w14:paraId="26B3C5BE" w14:textId="77777777" w:rsidR="00084D6B" w:rsidRPr="0015295D" w:rsidRDefault="00084D6B" w:rsidP="00020263">
            <w:pPr>
              <w:rPr>
                <w:b/>
                <w:bCs/>
              </w:rPr>
            </w:pPr>
            <w:r w:rsidRPr="0015295D">
              <w:rPr>
                <w:b/>
                <w:bCs/>
              </w:rPr>
              <w:t>Author</w:t>
            </w:r>
          </w:p>
        </w:tc>
      </w:tr>
      <w:tr w:rsidR="00084D6B" w:rsidRPr="0015295D" w14:paraId="55DB5E1C" w14:textId="77777777" w:rsidTr="00786DF7">
        <w:trPr>
          <w:tblCellSpacing w:w="15" w:type="dxa"/>
        </w:trPr>
        <w:tc>
          <w:tcPr>
            <w:tcW w:w="0" w:type="auto"/>
            <w:vAlign w:val="center"/>
            <w:hideMark/>
          </w:tcPr>
          <w:p w14:paraId="2EA64CFB" w14:textId="77777777" w:rsidR="00084D6B" w:rsidRPr="0015295D" w:rsidRDefault="00084D6B" w:rsidP="00020263">
            <w:r w:rsidRPr="0015295D">
              <w:t>1.0</w:t>
            </w:r>
          </w:p>
        </w:tc>
        <w:tc>
          <w:tcPr>
            <w:tcW w:w="0" w:type="auto"/>
            <w:vAlign w:val="center"/>
            <w:hideMark/>
          </w:tcPr>
          <w:p w14:paraId="3CE4028A" w14:textId="4980CFFB" w:rsidR="00084D6B" w:rsidRPr="0015295D" w:rsidRDefault="00084D6B" w:rsidP="00020263">
            <w:r w:rsidRPr="0015295D">
              <w:t>01/0</w:t>
            </w:r>
            <w:r>
              <w:t>1</w:t>
            </w:r>
            <w:r w:rsidRPr="0015295D">
              <w:t>/2026</w:t>
            </w:r>
          </w:p>
        </w:tc>
        <w:tc>
          <w:tcPr>
            <w:tcW w:w="0" w:type="auto"/>
            <w:vAlign w:val="center"/>
            <w:hideMark/>
          </w:tcPr>
          <w:p w14:paraId="12423B4E" w14:textId="77777777" w:rsidR="00084D6B" w:rsidRPr="0015295D" w:rsidRDefault="00084D6B" w:rsidP="00020263">
            <w:r w:rsidRPr="0015295D">
              <w:t>Initial policy release</w:t>
            </w:r>
          </w:p>
        </w:tc>
        <w:tc>
          <w:tcPr>
            <w:tcW w:w="0" w:type="auto"/>
            <w:vAlign w:val="center"/>
            <w:hideMark/>
          </w:tcPr>
          <w:p w14:paraId="11E9EAA4" w14:textId="77777777" w:rsidR="00084D6B" w:rsidRPr="0015295D" w:rsidRDefault="00084D6B" w:rsidP="00020263">
            <w:r w:rsidRPr="0015295D">
              <w:t>Management</w:t>
            </w:r>
          </w:p>
        </w:tc>
      </w:tr>
    </w:tbl>
    <w:p w14:paraId="4F6C8E14" w14:textId="3F77B69C" w:rsidR="0088106A" w:rsidRPr="00084D6B" w:rsidRDefault="0088106A" w:rsidP="00020263"/>
    <w:sectPr w:rsidR="0088106A" w:rsidRPr="00084D6B" w:rsidSect="004F6CFA">
      <w:headerReference w:type="default" r:id="rId7"/>
      <w:footerReference w:type="default" r:id="rId8"/>
      <w:pgSz w:w="11906" w:h="16838"/>
      <w:pgMar w:top="1985" w:right="1440" w:bottom="851"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BCC8" w14:textId="77777777" w:rsidR="00BF4C6D" w:rsidRDefault="00BF4C6D" w:rsidP="003B4F66">
      <w:r>
        <w:separator/>
      </w:r>
    </w:p>
  </w:endnote>
  <w:endnote w:type="continuationSeparator" w:id="0">
    <w:p w14:paraId="65480011" w14:textId="77777777" w:rsidR="00BF4C6D" w:rsidRDefault="00BF4C6D" w:rsidP="003B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56D" w14:textId="3E5A2A38" w:rsidR="003B4F66" w:rsidRDefault="003B4F66" w:rsidP="003B4F66">
    <w:pPr>
      <w:pStyle w:val="Footer"/>
      <w:jc w:val="center"/>
    </w:pPr>
    <w:r>
      <w:rPr>
        <w:b/>
        <w:bCs/>
      </w:rPr>
      <w:t xml:space="preserve">Address: </w:t>
    </w:r>
    <w:r w:rsidRPr="003B4F66">
      <w:t>3</w:t>
    </w:r>
    <w:r w:rsidRPr="003B4F66">
      <w:rPr>
        <w:vertAlign w:val="superscript"/>
      </w:rPr>
      <w:t>rd</w:t>
    </w:r>
    <w:r>
      <w:t xml:space="preserve"> </w:t>
    </w:r>
    <w:r w:rsidRPr="003B4F66">
      <w:t>Floor</w:t>
    </w:r>
    <w:r>
      <w:t>,</w:t>
    </w:r>
    <w:r w:rsidRPr="003B4F66">
      <w:t xml:space="preserve"> Lambourne House</w:t>
    </w:r>
    <w:r>
      <w:t>,</w:t>
    </w:r>
    <w:r w:rsidRPr="003B4F66">
      <w:t xml:space="preserve"> 7 Western Road</w:t>
    </w:r>
    <w:r>
      <w:t>,</w:t>
    </w:r>
    <w:r w:rsidRPr="003B4F66">
      <w:t xml:space="preserve"> Romford</w:t>
    </w:r>
    <w:r>
      <w:t xml:space="preserve"> </w:t>
    </w:r>
    <w:r w:rsidRPr="003B4F66">
      <w:t>RM1 3LF</w:t>
    </w:r>
  </w:p>
  <w:p w14:paraId="7214BC0A" w14:textId="3F197215" w:rsidR="003B4F66" w:rsidRPr="003B4F66" w:rsidRDefault="003B4F66" w:rsidP="003B4F66">
    <w:pPr>
      <w:pStyle w:val="Footer"/>
      <w:jc w:val="center"/>
    </w:pPr>
    <w:r w:rsidRPr="003B4F66">
      <w:rPr>
        <w:b/>
        <w:bCs/>
      </w:rPr>
      <w:t>Phone:</w:t>
    </w:r>
    <w:r>
      <w:t xml:space="preserve"> 02075539807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668A" w14:textId="77777777" w:rsidR="00BF4C6D" w:rsidRDefault="00BF4C6D" w:rsidP="003B4F66">
      <w:r>
        <w:separator/>
      </w:r>
    </w:p>
  </w:footnote>
  <w:footnote w:type="continuationSeparator" w:id="0">
    <w:p w14:paraId="3CF01052" w14:textId="77777777" w:rsidR="00BF4C6D" w:rsidRDefault="00BF4C6D" w:rsidP="003B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5F29" w14:textId="562E46DB" w:rsidR="003B4F66" w:rsidRDefault="003B4F66" w:rsidP="003B4F66">
    <w:pPr>
      <w:pStyle w:val="Header"/>
      <w:jc w:val="center"/>
    </w:pPr>
    <w:r>
      <w:rPr>
        <w:noProof/>
      </w:rPr>
      <w:drawing>
        <wp:inline distT="0" distB="0" distL="0" distR="0" wp14:anchorId="48612DA1" wp14:editId="39E50DCE">
          <wp:extent cx="1264257" cy="1264257"/>
          <wp:effectExtent l="0" t="0" r="0" b="0"/>
          <wp:docPr id="93065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92124" name="Picture 2108592124"/>
                  <pic:cNvPicPr/>
                </pic:nvPicPr>
                <pic:blipFill>
                  <a:blip r:embed="rId1">
                    <a:extLst>
                      <a:ext uri="{28A0092B-C50C-407E-A947-70E740481C1C}">
                        <a14:useLocalDpi xmlns:a14="http://schemas.microsoft.com/office/drawing/2010/main" val="0"/>
                      </a:ext>
                    </a:extLst>
                  </a:blip>
                  <a:stretch>
                    <a:fillRect/>
                  </a:stretch>
                </pic:blipFill>
                <pic:spPr>
                  <a:xfrm>
                    <a:off x="0" y="0"/>
                    <a:ext cx="1277306" cy="1277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573"/>
    <w:multiLevelType w:val="hybridMultilevel"/>
    <w:tmpl w:val="7ED65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850299"/>
    <w:multiLevelType w:val="hybridMultilevel"/>
    <w:tmpl w:val="CCFEA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301206"/>
    <w:multiLevelType w:val="hybridMultilevel"/>
    <w:tmpl w:val="69C2C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40594A"/>
    <w:multiLevelType w:val="hybridMultilevel"/>
    <w:tmpl w:val="5B80AC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AC78EF"/>
    <w:multiLevelType w:val="hybridMultilevel"/>
    <w:tmpl w:val="740699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39E139E"/>
    <w:multiLevelType w:val="hybridMultilevel"/>
    <w:tmpl w:val="B0868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0272BE"/>
    <w:multiLevelType w:val="hybridMultilevel"/>
    <w:tmpl w:val="87A65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CA3C4C"/>
    <w:multiLevelType w:val="multilevel"/>
    <w:tmpl w:val="2856BE4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8" w15:restartNumberingAfterBreak="0">
    <w:nsid w:val="2CC40EA2"/>
    <w:multiLevelType w:val="hybridMultilevel"/>
    <w:tmpl w:val="0C0C9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442EAC"/>
    <w:multiLevelType w:val="hybridMultilevel"/>
    <w:tmpl w:val="65643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7D11FA"/>
    <w:multiLevelType w:val="hybridMultilevel"/>
    <w:tmpl w:val="9872F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5C266F"/>
    <w:multiLevelType w:val="hybridMultilevel"/>
    <w:tmpl w:val="73B0B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561AE8"/>
    <w:multiLevelType w:val="hybridMultilevel"/>
    <w:tmpl w:val="B3A43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3C77D78"/>
    <w:multiLevelType w:val="multilevel"/>
    <w:tmpl w:val="5866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96E64"/>
    <w:multiLevelType w:val="hybridMultilevel"/>
    <w:tmpl w:val="8A50B11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987206"/>
    <w:multiLevelType w:val="hybridMultilevel"/>
    <w:tmpl w:val="443AD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D3209C"/>
    <w:multiLevelType w:val="multilevel"/>
    <w:tmpl w:val="6C14C2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51F43C6"/>
    <w:multiLevelType w:val="hybridMultilevel"/>
    <w:tmpl w:val="886E5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7662417"/>
    <w:multiLevelType w:val="multilevel"/>
    <w:tmpl w:val="72A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B19DC"/>
    <w:multiLevelType w:val="multilevel"/>
    <w:tmpl w:val="A1DAC8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2EE6A4B"/>
    <w:multiLevelType w:val="multilevel"/>
    <w:tmpl w:val="05E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8683A"/>
    <w:multiLevelType w:val="multilevel"/>
    <w:tmpl w:val="8E1C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A53B1"/>
    <w:multiLevelType w:val="hybridMultilevel"/>
    <w:tmpl w:val="C7048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B0C48CE"/>
    <w:multiLevelType w:val="hybridMultilevel"/>
    <w:tmpl w:val="826A8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B0C571D"/>
    <w:multiLevelType w:val="hybridMultilevel"/>
    <w:tmpl w:val="779C2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020285">
    <w:abstractNumId w:val="7"/>
  </w:num>
  <w:num w:numId="2" w16cid:durableId="967081898">
    <w:abstractNumId w:val="16"/>
  </w:num>
  <w:num w:numId="3" w16cid:durableId="1365868473">
    <w:abstractNumId w:val="19"/>
  </w:num>
  <w:num w:numId="4" w16cid:durableId="1918204280">
    <w:abstractNumId w:val="10"/>
  </w:num>
  <w:num w:numId="5" w16cid:durableId="1984918937">
    <w:abstractNumId w:val="9"/>
  </w:num>
  <w:num w:numId="6" w16cid:durableId="990451134">
    <w:abstractNumId w:val="17"/>
  </w:num>
  <w:num w:numId="7" w16cid:durableId="292759690">
    <w:abstractNumId w:val="22"/>
  </w:num>
  <w:num w:numId="8" w16cid:durableId="1083333228">
    <w:abstractNumId w:val="6"/>
  </w:num>
  <w:num w:numId="9" w16cid:durableId="1233584308">
    <w:abstractNumId w:val="8"/>
  </w:num>
  <w:num w:numId="10" w16cid:durableId="326985494">
    <w:abstractNumId w:val="24"/>
  </w:num>
  <w:num w:numId="11" w16cid:durableId="1781339804">
    <w:abstractNumId w:val="0"/>
  </w:num>
  <w:num w:numId="12" w16cid:durableId="234123465">
    <w:abstractNumId w:val="3"/>
  </w:num>
  <w:num w:numId="13" w16cid:durableId="810292578">
    <w:abstractNumId w:val="2"/>
  </w:num>
  <w:num w:numId="14" w16cid:durableId="975795044">
    <w:abstractNumId w:val="5"/>
  </w:num>
  <w:num w:numId="15" w16cid:durableId="1636333486">
    <w:abstractNumId w:val="4"/>
  </w:num>
  <w:num w:numId="16" w16cid:durableId="1597059710">
    <w:abstractNumId w:val="11"/>
  </w:num>
  <w:num w:numId="17" w16cid:durableId="650672380">
    <w:abstractNumId w:val="12"/>
  </w:num>
  <w:num w:numId="18" w16cid:durableId="1209564948">
    <w:abstractNumId w:val="23"/>
  </w:num>
  <w:num w:numId="19" w16cid:durableId="285284251">
    <w:abstractNumId w:val="14"/>
  </w:num>
  <w:num w:numId="20" w16cid:durableId="1447429531">
    <w:abstractNumId w:val="15"/>
  </w:num>
  <w:num w:numId="21" w16cid:durableId="1321731203">
    <w:abstractNumId w:val="21"/>
  </w:num>
  <w:num w:numId="22" w16cid:durableId="1787695950">
    <w:abstractNumId w:val="18"/>
  </w:num>
  <w:num w:numId="23" w16cid:durableId="1823500307">
    <w:abstractNumId w:val="13"/>
  </w:num>
  <w:num w:numId="24" w16cid:durableId="1050612451">
    <w:abstractNumId w:val="20"/>
  </w:num>
  <w:num w:numId="25" w16cid:durableId="136722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6A"/>
    <w:rsid w:val="00020263"/>
    <w:rsid w:val="000830D0"/>
    <w:rsid w:val="00084D6B"/>
    <w:rsid w:val="000874E7"/>
    <w:rsid w:val="000D1A40"/>
    <w:rsid w:val="0012212C"/>
    <w:rsid w:val="00185AF1"/>
    <w:rsid w:val="00235B80"/>
    <w:rsid w:val="00345CEB"/>
    <w:rsid w:val="003A6755"/>
    <w:rsid w:val="003B4F66"/>
    <w:rsid w:val="003C0102"/>
    <w:rsid w:val="003E1E99"/>
    <w:rsid w:val="00405251"/>
    <w:rsid w:val="004356DF"/>
    <w:rsid w:val="004508A0"/>
    <w:rsid w:val="004F6CFA"/>
    <w:rsid w:val="00520643"/>
    <w:rsid w:val="00582D25"/>
    <w:rsid w:val="00764A75"/>
    <w:rsid w:val="0088106A"/>
    <w:rsid w:val="009A259D"/>
    <w:rsid w:val="00A14181"/>
    <w:rsid w:val="00A43C13"/>
    <w:rsid w:val="00B030FF"/>
    <w:rsid w:val="00BF4C6D"/>
    <w:rsid w:val="00C67CEC"/>
    <w:rsid w:val="00CA78EA"/>
    <w:rsid w:val="00D236B8"/>
    <w:rsid w:val="00E418F3"/>
    <w:rsid w:val="00E825D1"/>
    <w:rsid w:val="00EE0C3F"/>
    <w:rsid w:val="00F83C1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197E"/>
  <w15:docId w15:val="{04BC95A3-59B5-4CC7-A938-A4F5C80C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C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02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02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02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02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02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02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02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02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02C7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02C7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02C7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02C7F"/>
    <w:rPr>
      <w:i/>
      <w:iCs/>
      <w:color w:val="404040" w:themeColor="text1" w:themeTint="BF"/>
    </w:rPr>
  </w:style>
  <w:style w:type="character" w:styleId="IntenseEmphasis">
    <w:name w:val="Intense Emphasis"/>
    <w:basedOn w:val="DefaultParagraphFont"/>
    <w:uiPriority w:val="21"/>
    <w:qFormat/>
    <w:rsid w:val="00C02C7F"/>
    <w:rPr>
      <w:i/>
      <w:iCs/>
      <w:color w:val="0F4761" w:themeColor="accent1" w:themeShade="BF"/>
    </w:rPr>
  </w:style>
  <w:style w:type="character" w:customStyle="1" w:styleId="IntenseQuoteChar">
    <w:name w:val="Intense Quote Char"/>
    <w:basedOn w:val="DefaultParagraphFont"/>
    <w:link w:val="IntenseQuote"/>
    <w:uiPriority w:val="30"/>
    <w:qFormat/>
    <w:rsid w:val="00C02C7F"/>
    <w:rPr>
      <w:i/>
      <w:iCs/>
      <w:color w:val="0F4761" w:themeColor="accent1" w:themeShade="BF"/>
    </w:rPr>
  </w:style>
  <w:style w:type="character" w:styleId="IntenseReference">
    <w:name w:val="Intense Reference"/>
    <w:basedOn w:val="DefaultParagraphFont"/>
    <w:uiPriority w:val="32"/>
    <w:qFormat/>
    <w:rsid w:val="00C02C7F"/>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Arial" w:eastAsia="Verdana" w:hAnsi="Arial" w:cs="Verdana"/>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C02C7F"/>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02C7F"/>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7F"/>
    <w:pPr>
      <w:spacing w:before="160" w:after="160"/>
      <w:jc w:val="center"/>
    </w:pPr>
    <w:rPr>
      <w:i/>
      <w:iCs/>
      <w:color w:val="404040" w:themeColor="text1" w:themeTint="BF"/>
    </w:rPr>
  </w:style>
  <w:style w:type="paragraph" w:styleId="ListParagraph">
    <w:name w:val="List Paragraph"/>
    <w:basedOn w:val="Normal"/>
    <w:uiPriority w:val="34"/>
    <w:qFormat/>
    <w:rsid w:val="00C02C7F"/>
    <w:pPr>
      <w:ind w:left="720"/>
      <w:contextualSpacing/>
    </w:pPr>
  </w:style>
  <w:style w:type="paragraph" w:styleId="IntenseQuote">
    <w:name w:val="Intense Quote"/>
    <w:basedOn w:val="Normal"/>
    <w:next w:val="Normal"/>
    <w:link w:val="IntenseQuoteChar"/>
    <w:uiPriority w:val="30"/>
    <w:qFormat/>
    <w:rsid w:val="00C02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3B4F66"/>
    <w:pPr>
      <w:tabs>
        <w:tab w:val="center" w:pos="4513"/>
        <w:tab w:val="right" w:pos="9026"/>
      </w:tabs>
    </w:pPr>
  </w:style>
  <w:style w:type="character" w:customStyle="1" w:styleId="HeaderChar">
    <w:name w:val="Header Char"/>
    <w:basedOn w:val="DefaultParagraphFont"/>
    <w:link w:val="Header"/>
    <w:uiPriority w:val="99"/>
    <w:rsid w:val="003B4F66"/>
  </w:style>
  <w:style w:type="paragraph" w:styleId="Footer">
    <w:name w:val="footer"/>
    <w:basedOn w:val="Normal"/>
    <w:link w:val="FooterChar"/>
    <w:uiPriority w:val="99"/>
    <w:unhideWhenUsed/>
    <w:rsid w:val="003B4F66"/>
    <w:pPr>
      <w:tabs>
        <w:tab w:val="center" w:pos="4513"/>
        <w:tab w:val="right" w:pos="9026"/>
      </w:tabs>
    </w:pPr>
  </w:style>
  <w:style w:type="character" w:customStyle="1" w:styleId="FooterChar">
    <w:name w:val="Footer Char"/>
    <w:basedOn w:val="DefaultParagraphFont"/>
    <w:link w:val="Footer"/>
    <w:uiPriority w:val="99"/>
    <w:rsid w:val="003B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Areeba KHAN</dc:creator>
  <dc:description/>
  <cp:lastModifiedBy>George Walters | No1 Healthcare London</cp:lastModifiedBy>
  <cp:revision>7</cp:revision>
  <dcterms:created xsi:type="dcterms:W3CDTF">2026-05-29T10:16:00Z</dcterms:created>
  <dcterms:modified xsi:type="dcterms:W3CDTF">2026-05-29T10:23:00Z</dcterms:modified>
  <dc:language>en-US</dc:language>
</cp:coreProperties>
</file>