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54AFE" w14:textId="35BED5A2" w:rsidR="00084D6B" w:rsidRPr="0015295D" w:rsidRDefault="00084D6B" w:rsidP="00020263">
      <w:r>
        <w:rPr>
          <w:b/>
          <w:bCs/>
        </w:rPr>
        <w:t>Evolve Staffing Ltd.</w:t>
      </w:r>
      <w:r w:rsidRPr="0015295D">
        <w:br/>
      </w:r>
      <w:r w:rsidR="002D0FD7">
        <w:rPr>
          <w:b/>
          <w:bCs/>
        </w:rPr>
        <w:t>Bullying and Harassment</w:t>
      </w:r>
      <w:r w:rsidRPr="0015295D">
        <w:rPr>
          <w:b/>
          <w:bCs/>
        </w:rPr>
        <w:t xml:space="preserve"> Policy</w:t>
      </w:r>
    </w:p>
    <w:p w14:paraId="606AB316" w14:textId="7F9231D5" w:rsidR="00084D6B" w:rsidRPr="0015295D" w:rsidRDefault="00084D6B" w:rsidP="00020263">
      <w:r w:rsidRPr="0015295D">
        <w:rPr>
          <w:b/>
          <w:bCs/>
        </w:rPr>
        <w:t>Document Version:</w:t>
      </w:r>
      <w:r w:rsidRPr="0015295D">
        <w:t xml:space="preserve"> 1.0</w:t>
      </w:r>
      <w:r w:rsidRPr="0015295D">
        <w:br/>
      </w:r>
      <w:r w:rsidRPr="0015295D">
        <w:rPr>
          <w:b/>
          <w:bCs/>
        </w:rPr>
        <w:t>Effective Date:</w:t>
      </w:r>
      <w:r w:rsidRPr="0015295D">
        <w:t xml:space="preserve"> 01 </w:t>
      </w:r>
      <w:r>
        <w:t>January</w:t>
      </w:r>
      <w:r w:rsidRPr="0015295D">
        <w:t xml:space="preserve"> 2026</w:t>
      </w:r>
      <w:r w:rsidRPr="0015295D">
        <w:br/>
      </w:r>
      <w:r w:rsidRPr="0015295D">
        <w:rPr>
          <w:b/>
          <w:bCs/>
        </w:rPr>
        <w:t>Review Date:</w:t>
      </w:r>
      <w:r w:rsidRPr="0015295D">
        <w:t xml:space="preserve"> 01 </w:t>
      </w:r>
      <w:r>
        <w:t>January</w:t>
      </w:r>
      <w:r w:rsidRPr="0015295D">
        <w:t xml:space="preserve"> 2027</w:t>
      </w:r>
      <w:r w:rsidRPr="0015295D">
        <w:br/>
      </w:r>
      <w:r w:rsidRPr="0015295D">
        <w:rPr>
          <w:b/>
          <w:bCs/>
        </w:rPr>
        <w:t>Approved By:</w:t>
      </w:r>
      <w:r w:rsidRPr="0015295D">
        <w:t xml:space="preserve"> Director, </w:t>
      </w:r>
      <w:r>
        <w:t>Evolve Staffing Ltd.</w:t>
      </w:r>
    </w:p>
    <w:p w14:paraId="78653166" w14:textId="77777777" w:rsidR="00084D6B" w:rsidRPr="0015295D" w:rsidRDefault="00000000" w:rsidP="00020263">
      <w:r>
        <w:pict w14:anchorId="5572EA77">
          <v:rect id="_x0000_i1025" style="width:0;height:1.5pt" o:hralign="center" o:hrstd="t" o:hr="t" fillcolor="#a0a0a0" stroked="f"/>
        </w:pict>
      </w:r>
    </w:p>
    <w:p w14:paraId="5D251129" w14:textId="5B1BA8F9" w:rsidR="00084D6B" w:rsidRPr="0015295D" w:rsidRDefault="00084D6B" w:rsidP="00020263">
      <w:pPr>
        <w:rPr>
          <w:b/>
          <w:bCs/>
        </w:rPr>
      </w:pPr>
      <w:r w:rsidRPr="0015295D">
        <w:rPr>
          <w:b/>
          <w:bCs/>
        </w:rPr>
        <w:t>1. Purpose</w:t>
      </w:r>
      <w:r w:rsidR="004356DF">
        <w:rPr>
          <w:b/>
          <w:bCs/>
        </w:rPr>
        <w:t xml:space="preserve"> and Scope</w:t>
      </w:r>
    </w:p>
    <w:p w14:paraId="1FB15725" w14:textId="7D64A25D" w:rsidR="00084D6B" w:rsidRPr="0015295D" w:rsidRDefault="004356DF" w:rsidP="00020263">
      <w:r>
        <w:t>Evolve Staffing Ltd is committed to providing a working environment free from harassment and bullying, ensuring all employees, temporary agency workers, and candidates are treated with dignity and respect. This policy applies to all aspects of work, including recruitment, training, and professional interactions.</w:t>
      </w:r>
      <w:r w:rsidR="00000000">
        <w:pict w14:anchorId="3499C7D9">
          <v:rect id="_x0000_i1026" style="width:0;height:1.5pt" o:hralign="center" o:hrstd="t" o:hr="t" fillcolor="#a0a0a0" stroked="f"/>
        </w:pict>
      </w:r>
    </w:p>
    <w:p w14:paraId="7168E381" w14:textId="0A0FAB14" w:rsidR="00084D6B" w:rsidRPr="0015295D" w:rsidRDefault="00084D6B" w:rsidP="00020263">
      <w:pPr>
        <w:rPr>
          <w:b/>
          <w:bCs/>
        </w:rPr>
      </w:pPr>
      <w:r w:rsidRPr="0015295D">
        <w:rPr>
          <w:b/>
          <w:bCs/>
        </w:rPr>
        <w:t xml:space="preserve">2. </w:t>
      </w:r>
      <w:r w:rsidR="00EE0C3F" w:rsidRPr="00EE0C3F">
        <w:rPr>
          <w:b/>
          <w:bCs/>
        </w:rPr>
        <w:t>UK Legislation and Micro-Company Status</w:t>
      </w:r>
    </w:p>
    <w:p w14:paraId="02D802B5" w14:textId="7BEA3673" w:rsidR="00084D6B" w:rsidRPr="0015295D" w:rsidRDefault="00EE0C3F" w:rsidP="00020263">
      <w:pPr>
        <w:suppressAutoHyphens w:val="0"/>
      </w:pPr>
      <w:r>
        <w:t>Under UK employment law and the ACAS statutory Code of Practice, formal grievance and disciplinary procedures often assume multi-layered organizational hierarchies (e.g., separate investigating, hearing, and appeal officers). As a registered Micro Company, Evolve Staffing Ltd. is legally exempt from maintaining complex multi-tiered internal panels due to size constraints. However, we are fully implementing this policy to maintain a zero-tolerance stance on harassment under the Equality Act 2010. Grievances will be reviewed directly by the Director, with provisions for independent external mediation if required to ensure fairness.</w:t>
      </w:r>
      <w:r w:rsidR="00000000">
        <w:pict w14:anchorId="0A94A9E6">
          <v:rect id="_x0000_i1027" style="width:0;height:1.5pt" o:hralign="center" o:hrstd="t" o:hr="t" fillcolor="#a0a0a0" stroked="f"/>
        </w:pict>
      </w:r>
    </w:p>
    <w:p w14:paraId="33EC8EA8" w14:textId="64D0EB4C" w:rsidR="00084D6B" w:rsidRPr="0015295D" w:rsidRDefault="00084D6B" w:rsidP="00020263">
      <w:pPr>
        <w:rPr>
          <w:b/>
          <w:bCs/>
        </w:rPr>
      </w:pPr>
      <w:r w:rsidRPr="0015295D">
        <w:rPr>
          <w:b/>
          <w:bCs/>
        </w:rPr>
        <w:t>3. Definition</w:t>
      </w:r>
    </w:p>
    <w:p w14:paraId="3D92D033" w14:textId="6EB075C4" w:rsidR="00764A75" w:rsidRDefault="00764A75" w:rsidP="00020263">
      <w:pPr>
        <w:pStyle w:val="ListParagraph"/>
        <w:numPr>
          <w:ilvl w:val="0"/>
          <w:numId w:val="25"/>
        </w:numPr>
      </w:pPr>
      <w:r w:rsidRPr="00764A75">
        <w:rPr>
          <w:b/>
          <w:bCs/>
        </w:rPr>
        <w:t>Bullying:</w:t>
      </w:r>
      <w:r>
        <w:t xml:space="preserve"> Offensive, intimidating, malicious, or insulting behavior, or an abuse or misuse of power through means that undermine, humiliate, denigrate, or injure the recipient.</w:t>
      </w:r>
    </w:p>
    <w:p w14:paraId="17D1AA8C" w14:textId="1937CCB4" w:rsidR="00084D6B" w:rsidRPr="0015295D" w:rsidRDefault="00764A75" w:rsidP="00020263">
      <w:pPr>
        <w:pStyle w:val="ListParagraph"/>
        <w:numPr>
          <w:ilvl w:val="0"/>
          <w:numId w:val="25"/>
        </w:numPr>
      </w:pPr>
      <w:r w:rsidRPr="00764A75">
        <w:rPr>
          <w:b/>
          <w:bCs/>
        </w:rPr>
        <w:t>Harassment:</w:t>
      </w:r>
      <w:r>
        <w:t xml:space="preserve"> Unwanted conduct related to a relevant protected characteristic (under the Equality Act 2010) that has the purpose or effect of violating an individual's dignity or creating an intimidating, hostile, degrading, humiliating, or offensive environment.</w:t>
      </w:r>
    </w:p>
    <w:p w14:paraId="1208B61A" w14:textId="4B5206FF" w:rsidR="00872354" w:rsidRDefault="00000000" w:rsidP="00020263">
      <w:pPr>
        <w:rPr>
          <w:b/>
          <w:bCs/>
        </w:rPr>
      </w:pPr>
      <w:r>
        <w:pict w14:anchorId="733ECD2C">
          <v:rect id="_x0000_i1028" style="width:0;height:1.5pt" o:hralign="center" o:hrstd="t" o:hr="t" fillcolor="#a0a0a0" stroked="f"/>
        </w:pict>
      </w:r>
    </w:p>
    <w:p w14:paraId="61886AB7" w14:textId="0CB4E02C" w:rsidR="00084D6B" w:rsidRPr="0015295D" w:rsidRDefault="00084D6B" w:rsidP="00020263">
      <w:pPr>
        <w:rPr>
          <w:b/>
          <w:bCs/>
        </w:rPr>
      </w:pPr>
      <w:r w:rsidRPr="0015295D">
        <w:rPr>
          <w:b/>
          <w:bCs/>
        </w:rPr>
        <w:t xml:space="preserve">4. </w:t>
      </w:r>
      <w:r w:rsidR="00020263" w:rsidRPr="00020263">
        <w:rPr>
          <w:b/>
          <w:bCs/>
        </w:rPr>
        <w:t>Grievance Procedure</w:t>
      </w:r>
    </w:p>
    <w:p w14:paraId="63059522" w14:textId="42963C7F" w:rsidR="00084D6B" w:rsidRPr="0015295D" w:rsidRDefault="00020263" w:rsidP="00020263">
      <w:r>
        <w:t>In line with ACAS guidelines, individuals are encouraged to resolve minor items informally if safe to do so. Where formal escalation is necessary, the matter should be reported in writing directly to the Director. Immediate, confidential investigations will be conducted thoroughly and impartially.</w:t>
      </w:r>
    </w:p>
    <w:p w14:paraId="49EFF283" w14:textId="77777777" w:rsidR="00084D6B" w:rsidRPr="0015295D" w:rsidRDefault="00000000" w:rsidP="00020263">
      <w:r>
        <w:pict w14:anchorId="25CD9A82">
          <v:rect id="_x0000_i1029" style="width:0;height:1.5pt" o:hralign="center" o:hrstd="t" o:hr="t" fillcolor="#a0a0a0" stroked="f"/>
        </w:pict>
      </w:r>
    </w:p>
    <w:p w14:paraId="15376DE6" w14:textId="3C28C265" w:rsidR="00084D6B" w:rsidRPr="0015295D" w:rsidRDefault="00D36A16" w:rsidP="00020263">
      <w:pPr>
        <w:rPr>
          <w:b/>
          <w:bCs/>
        </w:rPr>
      </w:pPr>
      <w:r>
        <w:rPr>
          <w:b/>
          <w:bCs/>
        </w:rPr>
        <w:t>5</w:t>
      </w:r>
      <w:r w:rsidR="00084D6B" w:rsidRPr="0015295D">
        <w:rPr>
          <w:b/>
          <w:bCs/>
        </w:rPr>
        <w:t>. Policy Review</w:t>
      </w:r>
    </w:p>
    <w:p w14:paraId="0A7FD006" w14:textId="77777777" w:rsidR="00084D6B" w:rsidRPr="0015295D" w:rsidRDefault="00084D6B" w:rsidP="00020263">
      <w:r w:rsidRPr="0015295D">
        <w:t>This policy will be reviewed annually or earlier if required due to legislative or organisational changes.</w:t>
      </w:r>
    </w:p>
    <w:p w14:paraId="645C23E2" w14:textId="77777777" w:rsidR="00084D6B" w:rsidRPr="0015295D" w:rsidRDefault="00000000" w:rsidP="00020263">
      <w:r>
        <w:pict w14:anchorId="5BAD3348">
          <v:rect id="_x0000_i1030" style="width:0;height:1.5pt" o:hralign="center" o:hrstd="t" o:hr="t" fillcolor="#a0a0a0" stroked="f"/>
        </w:pict>
      </w:r>
    </w:p>
    <w:p w14:paraId="3DD98DA9" w14:textId="77777777" w:rsidR="00084D6B" w:rsidRPr="0015295D" w:rsidRDefault="00084D6B" w:rsidP="00020263">
      <w:r w:rsidRPr="0015295D">
        <w:rPr>
          <w:b/>
          <w:bCs/>
        </w:rPr>
        <w:t>Version Control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7"/>
        <w:gridCol w:w="1249"/>
        <w:gridCol w:w="2115"/>
        <w:gridCol w:w="1434"/>
      </w:tblGrid>
      <w:tr w:rsidR="00084D6B" w:rsidRPr="0015295D" w14:paraId="59B5CDD5" w14:textId="77777777" w:rsidTr="00786DF7">
        <w:trPr>
          <w:tblHeader/>
          <w:tblCellSpacing w:w="15" w:type="dxa"/>
        </w:trPr>
        <w:tc>
          <w:tcPr>
            <w:tcW w:w="0" w:type="auto"/>
            <w:vAlign w:val="center"/>
            <w:hideMark/>
          </w:tcPr>
          <w:p w14:paraId="5E1C7033" w14:textId="77777777" w:rsidR="00084D6B" w:rsidRPr="0015295D" w:rsidRDefault="00084D6B" w:rsidP="00020263">
            <w:pPr>
              <w:rPr>
                <w:b/>
                <w:bCs/>
              </w:rPr>
            </w:pPr>
            <w:r w:rsidRPr="0015295D">
              <w:rPr>
                <w:b/>
                <w:bCs/>
              </w:rPr>
              <w:t>Version</w:t>
            </w:r>
          </w:p>
        </w:tc>
        <w:tc>
          <w:tcPr>
            <w:tcW w:w="0" w:type="auto"/>
            <w:vAlign w:val="center"/>
            <w:hideMark/>
          </w:tcPr>
          <w:p w14:paraId="04092C46" w14:textId="77777777" w:rsidR="00084D6B" w:rsidRPr="0015295D" w:rsidRDefault="00084D6B" w:rsidP="00020263">
            <w:pPr>
              <w:rPr>
                <w:b/>
                <w:bCs/>
              </w:rPr>
            </w:pPr>
            <w:r w:rsidRPr="0015295D">
              <w:rPr>
                <w:b/>
                <w:bCs/>
              </w:rPr>
              <w:t>Date</w:t>
            </w:r>
          </w:p>
        </w:tc>
        <w:tc>
          <w:tcPr>
            <w:tcW w:w="0" w:type="auto"/>
            <w:vAlign w:val="center"/>
            <w:hideMark/>
          </w:tcPr>
          <w:p w14:paraId="6EF42170" w14:textId="77777777" w:rsidR="00084D6B" w:rsidRPr="0015295D" w:rsidRDefault="00084D6B" w:rsidP="00020263">
            <w:pPr>
              <w:rPr>
                <w:b/>
                <w:bCs/>
              </w:rPr>
            </w:pPr>
            <w:r w:rsidRPr="0015295D">
              <w:rPr>
                <w:b/>
                <w:bCs/>
              </w:rPr>
              <w:t>Description</w:t>
            </w:r>
          </w:p>
        </w:tc>
        <w:tc>
          <w:tcPr>
            <w:tcW w:w="0" w:type="auto"/>
            <w:vAlign w:val="center"/>
            <w:hideMark/>
          </w:tcPr>
          <w:p w14:paraId="26B3C5BE" w14:textId="77777777" w:rsidR="00084D6B" w:rsidRPr="0015295D" w:rsidRDefault="00084D6B" w:rsidP="00020263">
            <w:pPr>
              <w:rPr>
                <w:b/>
                <w:bCs/>
              </w:rPr>
            </w:pPr>
            <w:r w:rsidRPr="0015295D">
              <w:rPr>
                <w:b/>
                <w:bCs/>
              </w:rPr>
              <w:t>Author</w:t>
            </w:r>
          </w:p>
        </w:tc>
      </w:tr>
      <w:tr w:rsidR="00084D6B" w:rsidRPr="0015295D" w14:paraId="55DB5E1C" w14:textId="77777777" w:rsidTr="00786DF7">
        <w:trPr>
          <w:tblCellSpacing w:w="15" w:type="dxa"/>
        </w:trPr>
        <w:tc>
          <w:tcPr>
            <w:tcW w:w="0" w:type="auto"/>
            <w:vAlign w:val="center"/>
            <w:hideMark/>
          </w:tcPr>
          <w:p w14:paraId="2EA64CFB" w14:textId="77777777" w:rsidR="00084D6B" w:rsidRPr="0015295D" w:rsidRDefault="00084D6B" w:rsidP="00020263">
            <w:r w:rsidRPr="0015295D">
              <w:t>1.0</w:t>
            </w:r>
          </w:p>
        </w:tc>
        <w:tc>
          <w:tcPr>
            <w:tcW w:w="0" w:type="auto"/>
            <w:vAlign w:val="center"/>
            <w:hideMark/>
          </w:tcPr>
          <w:p w14:paraId="3CE4028A" w14:textId="4980CFFB" w:rsidR="00084D6B" w:rsidRPr="0015295D" w:rsidRDefault="00084D6B" w:rsidP="00020263">
            <w:r w:rsidRPr="0015295D">
              <w:t>01/0</w:t>
            </w:r>
            <w:r>
              <w:t>1</w:t>
            </w:r>
            <w:r w:rsidRPr="0015295D">
              <w:t>/2026</w:t>
            </w:r>
          </w:p>
        </w:tc>
        <w:tc>
          <w:tcPr>
            <w:tcW w:w="0" w:type="auto"/>
            <w:vAlign w:val="center"/>
            <w:hideMark/>
          </w:tcPr>
          <w:p w14:paraId="12423B4E" w14:textId="77777777" w:rsidR="00084D6B" w:rsidRPr="0015295D" w:rsidRDefault="00084D6B" w:rsidP="00020263">
            <w:r w:rsidRPr="0015295D">
              <w:t>Initial policy release</w:t>
            </w:r>
          </w:p>
        </w:tc>
        <w:tc>
          <w:tcPr>
            <w:tcW w:w="0" w:type="auto"/>
            <w:vAlign w:val="center"/>
            <w:hideMark/>
          </w:tcPr>
          <w:p w14:paraId="11E9EAA4" w14:textId="77777777" w:rsidR="00084D6B" w:rsidRPr="0015295D" w:rsidRDefault="00084D6B" w:rsidP="00020263">
            <w:r w:rsidRPr="0015295D">
              <w:t>Management</w:t>
            </w:r>
          </w:p>
        </w:tc>
      </w:tr>
    </w:tbl>
    <w:p w14:paraId="4F6C8E14" w14:textId="3F77B69C" w:rsidR="0088106A" w:rsidRPr="00084D6B" w:rsidRDefault="0088106A" w:rsidP="00020263"/>
    <w:sectPr w:rsidR="0088106A" w:rsidRPr="00084D6B" w:rsidSect="004F6CFA">
      <w:headerReference w:type="default" r:id="rId7"/>
      <w:footerReference w:type="default" r:id="rId8"/>
      <w:pgSz w:w="11906" w:h="16838"/>
      <w:pgMar w:top="1985" w:right="1440" w:bottom="851"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5933C" w14:textId="77777777" w:rsidR="00592519" w:rsidRDefault="00592519" w:rsidP="003B4F66">
      <w:r>
        <w:separator/>
      </w:r>
    </w:p>
  </w:endnote>
  <w:endnote w:type="continuationSeparator" w:id="0">
    <w:p w14:paraId="5EFF0C63" w14:textId="77777777" w:rsidR="00592519" w:rsidRDefault="00592519" w:rsidP="003B4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A756D" w14:textId="3E5A2A38" w:rsidR="003B4F66" w:rsidRDefault="003B4F66" w:rsidP="003B4F66">
    <w:pPr>
      <w:pStyle w:val="Footer"/>
      <w:jc w:val="center"/>
    </w:pPr>
    <w:r>
      <w:rPr>
        <w:b/>
        <w:bCs/>
      </w:rPr>
      <w:t xml:space="preserve">Address: </w:t>
    </w:r>
    <w:r w:rsidRPr="003B4F66">
      <w:t>3</w:t>
    </w:r>
    <w:r w:rsidRPr="003B4F66">
      <w:rPr>
        <w:vertAlign w:val="superscript"/>
      </w:rPr>
      <w:t>rd</w:t>
    </w:r>
    <w:r>
      <w:t xml:space="preserve"> </w:t>
    </w:r>
    <w:r w:rsidRPr="003B4F66">
      <w:t>Floor</w:t>
    </w:r>
    <w:r>
      <w:t>,</w:t>
    </w:r>
    <w:r w:rsidRPr="003B4F66">
      <w:t xml:space="preserve"> Lambourne House</w:t>
    </w:r>
    <w:r>
      <w:t>,</w:t>
    </w:r>
    <w:r w:rsidRPr="003B4F66">
      <w:t xml:space="preserve"> 7 Western Road</w:t>
    </w:r>
    <w:r>
      <w:t>,</w:t>
    </w:r>
    <w:r w:rsidRPr="003B4F66">
      <w:t xml:space="preserve"> Romford</w:t>
    </w:r>
    <w:r>
      <w:t xml:space="preserve"> </w:t>
    </w:r>
    <w:r w:rsidRPr="003B4F66">
      <w:t>RM1 3LF</w:t>
    </w:r>
  </w:p>
  <w:p w14:paraId="7214BC0A" w14:textId="3F197215" w:rsidR="003B4F66" w:rsidRPr="003B4F66" w:rsidRDefault="003B4F66" w:rsidP="003B4F66">
    <w:pPr>
      <w:pStyle w:val="Footer"/>
      <w:jc w:val="center"/>
    </w:pPr>
    <w:r w:rsidRPr="003B4F66">
      <w:rPr>
        <w:b/>
        <w:bCs/>
      </w:rPr>
      <w:t>Phone:</w:t>
    </w:r>
    <w:r>
      <w:t xml:space="preserve"> 02075539807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53C65" w14:textId="77777777" w:rsidR="00592519" w:rsidRDefault="00592519" w:rsidP="003B4F66">
      <w:r>
        <w:separator/>
      </w:r>
    </w:p>
  </w:footnote>
  <w:footnote w:type="continuationSeparator" w:id="0">
    <w:p w14:paraId="4ED96B49" w14:textId="77777777" w:rsidR="00592519" w:rsidRDefault="00592519" w:rsidP="003B4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35F29" w14:textId="562E46DB" w:rsidR="003B4F66" w:rsidRDefault="003B4F66" w:rsidP="003B4F66">
    <w:pPr>
      <w:pStyle w:val="Header"/>
      <w:jc w:val="center"/>
    </w:pPr>
    <w:r>
      <w:rPr>
        <w:noProof/>
      </w:rPr>
      <w:drawing>
        <wp:inline distT="0" distB="0" distL="0" distR="0" wp14:anchorId="48612DA1" wp14:editId="39E50DCE">
          <wp:extent cx="1264257" cy="1264257"/>
          <wp:effectExtent l="0" t="0" r="0" b="0"/>
          <wp:docPr id="930652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592124" name="Picture 2108592124"/>
                  <pic:cNvPicPr/>
                </pic:nvPicPr>
                <pic:blipFill>
                  <a:blip r:embed="rId1">
                    <a:extLst>
                      <a:ext uri="{28A0092B-C50C-407E-A947-70E740481C1C}">
                        <a14:useLocalDpi xmlns:a14="http://schemas.microsoft.com/office/drawing/2010/main" val="0"/>
                      </a:ext>
                    </a:extLst>
                  </a:blip>
                  <a:stretch>
                    <a:fillRect/>
                  </a:stretch>
                </pic:blipFill>
                <pic:spPr>
                  <a:xfrm>
                    <a:off x="0" y="0"/>
                    <a:ext cx="1277306" cy="127730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46573"/>
    <w:multiLevelType w:val="hybridMultilevel"/>
    <w:tmpl w:val="7ED654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C850299"/>
    <w:multiLevelType w:val="hybridMultilevel"/>
    <w:tmpl w:val="CCFEA5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5301206"/>
    <w:multiLevelType w:val="hybridMultilevel"/>
    <w:tmpl w:val="69C2CD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640594A"/>
    <w:multiLevelType w:val="hybridMultilevel"/>
    <w:tmpl w:val="5B80ACF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DAC78EF"/>
    <w:multiLevelType w:val="hybridMultilevel"/>
    <w:tmpl w:val="740699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39E139E"/>
    <w:multiLevelType w:val="hybridMultilevel"/>
    <w:tmpl w:val="B08684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50272BE"/>
    <w:multiLevelType w:val="hybridMultilevel"/>
    <w:tmpl w:val="87A65D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ACA3C4C"/>
    <w:multiLevelType w:val="multilevel"/>
    <w:tmpl w:val="2856BE42"/>
    <w:lvl w:ilvl="0">
      <w:start w:val="1"/>
      <w:numFmt w:val="bullet"/>
      <w:lvlText w:val=""/>
      <w:lvlJc w:val="left"/>
      <w:pPr>
        <w:tabs>
          <w:tab w:val="num" w:pos="360"/>
        </w:tabs>
        <w:ind w:left="36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800"/>
        </w:tabs>
        <w:ind w:left="1800" w:hanging="360"/>
      </w:pPr>
      <w:rPr>
        <w:rFonts w:ascii="Wingdings" w:hAnsi="Wingdings" w:cs="Wingdings" w:hint="default"/>
        <w:sz w:val="20"/>
      </w:rPr>
    </w:lvl>
    <w:lvl w:ilvl="3">
      <w:start w:val="1"/>
      <w:numFmt w:val="bullet"/>
      <w:lvlText w:val=""/>
      <w:lvlJc w:val="left"/>
      <w:pPr>
        <w:tabs>
          <w:tab w:val="num" w:pos="2520"/>
        </w:tabs>
        <w:ind w:left="2520" w:hanging="360"/>
      </w:pPr>
      <w:rPr>
        <w:rFonts w:ascii="Wingdings" w:hAnsi="Wingdings" w:cs="Wingdings" w:hint="default"/>
        <w:sz w:val="20"/>
      </w:rPr>
    </w:lvl>
    <w:lvl w:ilvl="4">
      <w:start w:val="1"/>
      <w:numFmt w:val="bullet"/>
      <w:lvlText w:val=""/>
      <w:lvlJc w:val="left"/>
      <w:pPr>
        <w:tabs>
          <w:tab w:val="num" w:pos="3240"/>
        </w:tabs>
        <w:ind w:left="3240" w:hanging="360"/>
      </w:pPr>
      <w:rPr>
        <w:rFonts w:ascii="Wingdings" w:hAnsi="Wingdings" w:cs="Wingdings" w:hint="default"/>
        <w:sz w:val="20"/>
      </w:rPr>
    </w:lvl>
    <w:lvl w:ilvl="5">
      <w:start w:val="1"/>
      <w:numFmt w:val="bullet"/>
      <w:lvlText w:val=""/>
      <w:lvlJc w:val="left"/>
      <w:pPr>
        <w:tabs>
          <w:tab w:val="num" w:pos="3960"/>
        </w:tabs>
        <w:ind w:left="3960" w:hanging="360"/>
      </w:pPr>
      <w:rPr>
        <w:rFonts w:ascii="Wingdings" w:hAnsi="Wingdings" w:cs="Wingdings" w:hint="default"/>
        <w:sz w:val="20"/>
      </w:rPr>
    </w:lvl>
    <w:lvl w:ilvl="6">
      <w:start w:val="1"/>
      <w:numFmt w:val="bullet"/>
      <w:lvlText w:val=""/>
      <w:lvlJc w:val="left"/>
      <w:pPr>
        <w:tabs>
          <w:tab w:val="num" w:pos="4680"/>
        </w:tabs>
        <w:ind w:left="4680" w:hanging="360"/>
      </w:pPr>
      <w:rPr>
        <w:rFonts w:ascii="Wingdings" w:hAnsi="Wingdings" w:cs="Wingdings" w:hint="default"/>
        <w:sz w:val="20"/>
      </w:rPr>
    </w:lvl>
    <w:lvl w:ilvl="7">
      <w:start w:val="1"/>
      <w:numFmt w:val="bullet"/>
      <w:lvlText w:val=""/>
      <w:lvlJc w:val="left"/>
      <w:pPr>
        <w:tabs>
          <w:tab w:val="num" w:pos="5400"/>
        </w:tabs>
        <w:ind w:left="5400" w:hanging="360"/>
      </w:pPr>
      <w:rPr>
        <w:rFonts w:ascii="Wingdings" w:hAnsi="Wingdings" w:cs="Wingdings" w:hint="default"/>
        <w:sz w:val="20"/>
      </w:rPr>
    </w:lvl>
    <w:lvl w:ilvl="8">
      <w:start w:val="1"/>
      <w:numFmt w:val="bullet"/>
      <w:lvlText w:val=""/>
      <w:lvlJc w:val="left"/>
      <w:pPr>
        <w:tabs>
          <w:tab w:val="num" w:pos="6120"/>
        </w:tabs>
        <w:ind w:left="6120" w:hanging="360"/>
      </w:pPr>
      <w:rPr>
        <w:rFonts w:ascii="Wingdings" w:hAnsi="Wingdings" w:cs="Wingdings" w:hint="default"/>
        <w:sz w:val="20"/>
      </w:rPr>
    </w:lvl>
  </w:abstractNum>
  <w:abstractNum w:abstractNumId="8" w15:restartNumberingAfterBreak="0">
    <w:nsid w:val="2CC40EA2"/>
    <w:multiLevelType w:val="hybridMultilevel"/>
    <w:tmpl w:val="0C0C9E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E442EAC"/>
    <w:multiLevelType w:val="hybridMultilevel"/>
    <w:tmpl w:val="65643D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37D11FA"/>
    <w:multiLevelType w:val="hybridMultilevel"/>
    <w:tmpl w:val="9872F5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65C266F"/>
    <w:multiLevelType w:val="hybridMultilevel"/>
    <w:tmpl w:val="73B0B4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B561AE8"/>
    <w:multiLevelType w:val="hybridMultilevel"/>
    <w:tmpl w:val="B3A433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3C77D78"/>
    <w:multiLevelType w:val="multilevel"/>
    <w:tmpl w:val="5866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496E64"/>
    <w:multiLevelType w:val="hybridMultilevel"/>
    <w:tmpl w:val="8A50B11A"/>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6987206"/>
    <w:multiLevelType w:val="hybridMultilevel"/>
    <w:tmpl w:val="443AD0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2D3209C"/>
    <w:multiLevelType w:val="multilevel"/>
    <w:tmpl w:val="6C14C2F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551F43C6"/>
    <w:multiLevelType w:val="hybridMultilevel"/>
    <w:tmpl w:val="886E56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7662417"/>
    <w:multiLevelType w:val="multilevel"/>
    <w:tmpl w:val="72A0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EB19DC"/>
    <w:multiLevelType w:val="multilevel"/>
    <w:tmpl w:val="A1DAC8C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15:restartNumberingAfterBreak="0">
    <w:nsid w:val="72EE6A4B"/>
    <w:multiLevelType w:val="multilevel"/>
    <w:tmpl w:val="05EC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F8683A"/>
    <w:multiLevelType w:val="multilevel"/>
    <w:tmpl w:val="8E1C3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8A53B1"/>
    <w:multiLevelType w:val="hybridMultilevel"/>
    <w:tmpl w:val="C7048E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7B0C48CE"/>
    <w:multiLevelType w:val="hybridMultilevel"/>
    <w:tmpl w:val="826A83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7B0C571D"/>
    <w:multiLevelType w:val="hybridMultilevel"/>
    <w:tmpl w:val="779C23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85020285">
    <w:abstractNumId w:val="7"/>
  </w:num>
  <w:num w:numId="2" w16cid:durableId="967081898">
    <w:abstractNumId w:val="16"/>
  </w:num>
  <w:num w:numId="3" w16cid:durableId="1365868473">
    <w:abstractNumId w:val="19"/>
  </w:num>
  <w:num w:numId="4" w16cid:durableId="1918204280">
    <w:abstractNumId w:val="10"/>
  </w:num>
  <w:num w:numId="5" w16cid:durableId="1984918937">
    <w:abstractNumId w:val="9"/>
  </w:num>
  <w:num w:numId="6" w16cid:durableId="990451134">
    <w:abstractNumId w:val="17"/>
  </w:num>
  <w:num w:numId="7" w16cid:durableId="292759690">
    <w:abstractNumId w:val="22"/>
  </w:num>
  <w:num w:numId="8" w16cid:durableId="1083333228">
    <w:abstractNumId w:val="6"/>
  </w:num>
  <w:num w:numId="9" w16cid:durableId="1233584308">
    <w:abstractNumId w:val="8"/>
  </w:num>
  <w:num w:numId="10" w16cid:durableId="326985494">
    <w:abstractNumId w:val="24"/>
  </w:num>
  <w:num w:numId="11" w16cid:durableId="1781339804">
    <w:abstractNumId w:val="0"/>
  </w:num>
  <w:num w:numId="12" w16cid:durableId="234123465">
    <w:abstractNumId w:val="3"/>
  </w:num>
  <w:num w:numId="13" w16cid:durableId="810292578">
    <w:abstractNumId w:val="2"/>
  </w:num>
  <w:num w:numId="14" w16cid:durableId="975795044">
    <w:abstractNumId w:val="5"/>
  </w:num>
  <w:num w:numId="15" w16cid:durableId="1636333486">
    <w:abstractNumId w:val="4"/>
  </w:num>
  <w:num w:numId="16" w16cid:durableId="1597059710">
    <w:abstractNumId w:val="11"/>
  </w:num>
  <w:num w:numId="17" w16cid:durableId="650672380">
    <w:abstractNumId w:val="12"/>
  </w:num>
  <w:num w:numId="18" w16cid:durableId="1209564948">
    <w:abstractNumId w:val="23"/>
  </w:num>
  <w:num w:numId="19" w16cid:durableId="285284251">
    <w:abstractNumId w:val="14"/>
  </w:num>
  <w:num w:numId="20" w16cid:durableId="1447429531">
    <w:abstractNumId w:val="15"/>
  </w:num>
  <w:num w:numId="21" w16cid:durableId="1321731203">
    <w:abstractNumId w:val="21"/>
  </w:num>
  <w:num w:numId="22" w16cid:durableId="1787695950">
    <w:abstractNumId w:val="18"/>
  </w:num>
  <w:num w:numId="23" w16cid:durableId="1823500307">
    <w:abstractNumId w:val="13"/>
  </w:num>
  <w:num w:numId="24" w16cid:durableId="1050612451">
    <w:abstractNumId w:val="20"/>
  </w:num>
  <w:num w:numId="25" w16cid:durableId="1367221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6A"/>
    <w:rsid w:val="00020263"/>
    <w:rsid w:val="000830D0"/>
    <w:rsid w:val="00084D6B"/>
    <w:rsid w:val="000874E7"/>
    <w:rsid w:val="000D1A40"/>
    <w:rsid w:val="0012212C"/>
    <w:rsid w:val="00185AF1"/>
    <w:rsid w:val="00235B80"/>
    <w:rsid w:val="002D0FD7"/>
    <w:rsid w:val="00345CEB"/>
    <w:rsid w:val="003A6755"/>
    <w:rsid w:val="003B4F66"/>
    <w:rsid w:val="004356DF"/>
    <w:rsid w:val="004F6CFA"/>
    <w:rsid w:val="00582D25"/>
    <w:rsid w:val="00592519"/>
    <w:rsid w:val="005B1A19"/>
    <w:rsid w:val="005C4401"/>
    <w:rsid w:val="00764A75"/>
    <w:rsid w:val="00872354"/>
    <w:rsid w:val="0088106A"/>
    <w:rsid w:val="009A259D"/>
    <w:rsid w:val="00A14181"/>
    <w:rsid w:val="00A43C13"/>
    <w:rsid w:val="00B030FF"/>
    <w:rsid w:val="00CA78EA"/>
    <w:rsid w:val="00D236B8"/>
    <w:rsid w:val="00D36A16"/>
    <w:rsid w:val="00E418F3"/>
    <w:rsid w:val="00E825D1"/>
    <w:rsid w:val="00EE0C3F"/>
    <w:rsid w:val="00EE728E"/>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F197E"/>
  <w15:docId w15:val="{04BC95A3-59B5-4CC7-A938-A4F5C80C7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2C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2C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2C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2C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2C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2C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2C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2C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2C7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C02C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C02C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C02C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C02C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C02C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C02C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C02C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C02C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C02C7F"/>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C02C7F"/>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C02C7F"/>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C02C7F"/>
    <w:rPr>
      <w:i/>
      <w:iCs/>
      <w:color w:val="404040" w:themeColor="text1" w:themeTint="BF"/>
    </w:rPr>
  </w:style>
  <w:style w:type="character" w:styleId="IntenseEmphasis">
    <w:name w:val="Intense Emphasis"/>
    <w:basedOn w:val="DefaultParagraphFont"/>
    <w:uiPriority w:val="21"/>
    <w:qFormat/>
    <w:rsid w:val="00C02C7F"/>
    <w:rPr>
      <w:i/>
      <w:iCs/>
      <w:color w:val="0F4761" w:themeColor="accent1" w:themeShade="BF"/>
    </w:rPr>
  </w:style>
  <w:style w:type="character" w:customStyle="1" w:styleId="IntenseQuoteChar">
    <w:name w:val="Intense Quote Char"/>
    <w:basedOn w:val="DefaultParagraphFont"/>
    <w:link w:val="IntenseQuote"/>
    <w:uiPriority w:val="30"/>
    <w:qFormat/>
    <w:rsid w:val="00C02C7F"/>
    <w:rPr>
      <w:i/>
      <w:iCs/>
      <w:color w:val="0F4761" w:themeColor="accent1" w:themeShade="BF"/>
    </w:rPr>
  </w:style>
  <w:style w:type="character" w:styleId="IntenseReference">
    <w:name w:val="Intense Reference"/>
    <w:basedOn w:val="DefaultParagraphFont"/>
    <w:uiPriority w:val="32"/>
    <w:qFormat/>
    <w:rsid w:val="00C02C7F"/>
    <w:rPr>
      <w:b/>
      <w:bCs/>
      <w:smallCaps/>
      <w:color w:val="0F4761" w:themeColor="accent1" w:themeShade="BF"/>
      <w:spacing w:val="5"/>
    </w:rPr>
  </w:style>
  <w:style w:type="paragraph" w:customStyle="1" w:styleId="Heading">
    <w:name w:val="Heading"/>
    <w:basedOn w:val="Normal"/>
    <w:next w:val="BodyText"/>
    <w:qFormat/>
    <w:pPr>
      <w:keepNext/>
      <w:spacing w:before="240" w:after="120"/>
    </w:pPr>
    <w:rPr>
      <w:rFonts w:ascii="Arial" w:eastAsia="Verdana" w:hAnsi="Arial" w:cs="Verdana"/>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Title">
    <w:name w:val="Title"/>
    <w:basedOn w:val="Normal"/>
    <w:next w:val="Normal"/>
    <w:link w:val="TitleChar"/>
    <w:uiPriority w:val="10"/>
    <w:qFormat/>
    <w:rsid w:val="00C02C7F"/>
    <w:pPr>
      <w:spacing w:after="80"/>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C02C7F"/>
    <w:pPr>
      <w:spacing w:after="160"/>
    </w:pPr>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2C7F"/>
    <w:pPr>
      <w:spacing w:before="160" w:after="160"/>
      <w:jc w:val="center"/>
    </w:pPr>
    <w:rPr>
      <w:i/>
      <w:iCs/>
      <w:color w:val="404040" w:themeColor="text1" w:themeTint="BF"/>
    </w:rPr>
  </w:style>
  <w:style w:type="paragraph" w:styleId="ListParagraph">
    <w:name w:val="List Paragraph"/>
    <w:basedOn w:val="Normal"/>
    <w:uiPriority w:val="34"/>
    <w:qFormat/>
    <w:rsid w:val="00C02C7F"/>
    <w:pPr>
      <w:ind w:left="720"/>
      <w:contextualSpacing/>
    </w:pPr>
  </w:style>
  <w:style w:type="paragraph" w:styleId="IntenseQuote">
    <w:name w:val="Intense Quote"/>
    <w:basedOn w:val="Normal"/>
    <w:next w:val="Normal"/>
    <w:link w:val="IntenseQuoteChar"/>
    <w:uiPriority w:val="30"/>
    <w:qFormat/>
    <w:rsid w:val="00C02C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styleId="Header">
    <w:name w:val="header"/>
    <w:basedOn w:val="Normal"/>
    <w:link w:val="HeaderChar"/>
    <w:uiPriority w:val="99"/>
    <w:unhideWhenUsed/>
    <w:rsid w:val="003B4F66"/>
    <w:pPr>
      <w:tabs>
        <w:tab w:val="center" w:pos="4513"/>
        <w:tab w:val="right" w:pos="9026"/>
      </w:tabs>
    </w:pPr>
  </w:style>
  <w:style w:type="character" w:customStyle="1" w:styleId="HeaderChar">
    <w:name w:val="Header Char"/>
    <w:basedOn w:val="DefaultParagraphFont"/>
    <w:link w:val="Header"/>
    <w:uiPriority w:val="99"/>
    <w:rsid w:val="003B4F66"/>
  </w:style>
  <w:style w:type="paragraph" w:styleId="Footer">
    <w:name w:val="footer"/>
    <w:basedOn w:val="Normal"/>
    <w:link w:val="FooterChar"/>
    <w:uiPriority w:val="99"/>
    <w:unhideWhenUsed/>
    <w:rsid w:val="003B4F66"/>
    <w:pPr>
      <w:tabs>
        <w:tab w:val="center" w:pos="4513"/>
        <w:tab w:val="right" w:pos="9026"/>
      </w:tabs>
    </w:pPr>
  </w:style>
  <w:style w:type="character" w:customStyle="1" w:styleId="FooterChar">
    <w:name w:val="Footer Char"/>
    <w:basedOn w:val="DefaultParagraphFont"/>
    <w:link w:val="Footer"/>
    <w:uiPriority w:val="99"/>
    <w:rsid w:val="003B4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Areeba KHAN</dc:creator>
  <dc:description/>
  <cp:lastModifiedBy>George Walters | No1 Healthcare London</cp:lastModifiedBy>
  <cp:revision>9</cp:revision>
  <dcterms:created xsi:type="dcterms:W3CDTF">2026-05-29T10:12:00Z</dcterms:created>
  <dcterms:modified xsi:type="dcterms:W3CDTF">2026-05-29T10:23:00Z</dcterms:modified>
  <dc:language>en-US</dc:language>
</cp:coreProperties>
</file>